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YUSRIL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BATUBARA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158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5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57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5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56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153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11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CAD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AULIA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MUFLIH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NASUTION,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M.Sc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17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152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11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1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MUFLIH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NASUTION,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151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158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1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1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1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