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66.150pt;height:5.6pt;mso-position-horizontal-relative:page;mso-position-vertical-relative:paragraph;z-index:-2524702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Studio Perancangan Arsitektur II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Studio Perancangan Arsitektur</w:t>
      </w:r>
      <w:r>
        <w:rPr>
          <w:spacing w:val="-1"/>
          <w:sz w:val="24"/>
        </w:rPr>
        <w:t> </w:t>
      </w:r>
      <w:r>
        <w:rPr>
          <w:sz w:val="24"/>
        </w:rPr>
        <w:t>II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Yunita Syafitri Rambe, ST,</w:t>
      </w:r>
      <w:r>
        <w:rPr>
          <w:spacing w:val="-4"/>
          <w:sz w:val="24"/>
        </w:rPr>
        <w:t> </w:t>
      </w:r>
      <w:r>
        <w:rPr>
          <w:sz w:val="24"/>
        </w:rPr>
        <w:t>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Selasa, 4 Agustus</w:t>
      </w:r>
      <w:r>
        <w:rPr>
          <w:spacing w:val="-4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Selasa, 25 Agustus</w:t>
      </w:r>
      <w:r>
        <w:rPr>
          <w:spacing w:val="4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09.40 - 10.40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Anif Sucipta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4"/>
              <w:rPr>
                <w:sz w:val="24"/>
              </w:rPr>
            </w:pPr>
            <w:r>
              <w:rPr>
                <w:sz w:val="24"/>
              </w:rPr>
              <w:t>178140004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Mita Amalia Cahyani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5"/>
              <w:rPr>
                <w:sz w:val="24"/>
              </w:rPr>
            </w:pPr>
            <w:r>
              <w:rPr>
                <w:sz w:val="24"/>
              </w:rPr>
              <w:t>178120022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40" w:val="left" w:leader="none"/>
        </w:tabs>
        <w:spacing w:before="0"/>
        <w:ind w:left="59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Yunita Syafitri Rambe, ST,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2020-09-01T18:43:43Z</dcterms:created>
  <dcterms:modified xsi:type="dcterms:W3CDTF">2020-09-01T18:43:43Z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